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第一部分城子镇2018年部门预算编制说明</w:t>
      </w:r>
    </w:p>
    <w:p>
      <w:pPr>
        <w:jc w:val="left"/>
        <w:rPr>
          <w:rFonts w:hint="eastAsia" w:ascii="黑体" w:hAnsi="黑体" w:eastAsia="黑体"/>
          <w:sz w:val="30"/>
          <w:szCs w:val="30"/>
        </w:rPr>
      </w:pPr>
      <w:r>
        <w:rPr>
          <w:rFonts w:hint="eastAsia" w:ascii="黑体" w:hAnsi="黑体" w:eastAsia="黑体"/>
          <w:sz w:val="30"/>
          <w:szCs w:val="30"/>
        </w:rPr>
        <w:t>第二部分城子镇2018年部门预算表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jc w:val="left"/>
        <w:rPr>
          <w:rFonts w:ascii="Times New Roman" w:hAnsi="Times New Roman" w:eastAsia="仿宋_GB2312"/>
          <w:sz w:val="30"/>
          <w:szCs w:val="30"/>
        </w:rPr>
      </w:pPr>
      <w:r>
        <w:rPr>
          <w:rFonts w:hint="eastAsia" w:ascii="Times New Roman" w:hAnsi="Times New Roman" w:eastAsia="仿宋_GB2312"/>
          <w:sz w:val="30"/>
          <w:szCs w:val="30"/>
        </w:rPr>
        <w:t>十四、部门重点工作情况解释说明汇总表</w:t>
      </w:r>
    </w:p>
    <w:p>
      <w:pPr>
        <w:jc w:val="left"/>
        <w:rPr>
          <w:rFonts w:ascii="Times New Roman" w:hAnsi="Times New Roman" w:eastAsia="仿宋_GB2312"/>
          <w:sz w:val="30"/>
          <w:szCs w:val="30"/>
        </w:rPr>
      </w:pPr>
    </w:p>
    <w:p>
      <w:pPr>
        <w:widowControl/>
        <w:jc w:val="center"/>
        <w:rPr>
          <w:rFonts w:hint="eastAsia" w:ascii="方正小标宋简体" w:eastAsia="方正小标宋简体"/>
          <w:kern w:val="0"/>
          <w:sz w:val="36"/>
          <w:szCs w:val="36"/>
        </w:rPr>
      </w:pPr>
    </w:p>
    <w:p>
      <w:pPr>
        <w:widowControl/>
        <w:jc w:val="both"/>
        <w:rPr>
          <w:rFonts w:hint="eastAsia" w:ascii="方正小标宋简体" w:eastAsia="方正小标宋简体"/>
          <w:kern w:val="0"/>
          <w:sz w:val="36"/>
          <w:szCs w:val="36"/>
        </w:rPr>
      </w:pPr>
    </w:p>
    <w:p>
      <w:pPr>
        <w:keepNext w:val="0"/>
        <w:keepLines w:val="0"/>
        <w:pageBreakBefore w:val="0"/>
        <w:widowControl/>
        <w:kinsoku/>
        <w:wordWrap/>
        <w:overflowPunct/>
        <w:topLinePunct w:val="0"/>
        <w:autoSpaceDE/>
        <w:autoSpaceDN/>
        <w:bidi w:val="0"/>
        <w:adjustRightInd/>
        <w:spacing w:line="560" w:lineRule="exact"/>
        <w:ind w:right="0" w:rightChars="0"/>
        <w:jc w:val="both"/>
        <w:textAlignment w:val="auto"/>
        <w:outlineLvl w:val="9"/>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城子镇人民政府2018年部门预算编制说明</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eastAsia" w:ascii="方正小标宋_GBK" w:hAnsi="方正小标宋_GBK" w:eastAsia="方正小标宋_GBK" w:cs="方正小标宋_GBK"/>
          <w:kern w:val="0"/>
          <w:sz w:val="32"/>
          <w:szCs w:val="32"/>
        </w:rPr>
      </w:pP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eastAsia" w:ascii="方正小标宋_GBK" w:hAnsi="方正小标宋_GBK" w:eastAsia="方正小标宋_GBK" w:cs="方正小标宋_GBK"/>
          <w:kern w:val="0"/>
          <w:sz w:val="32"/>
          <w:szCs w:val="32"/>
        </w:rPr>
      </w:pPr>
      <w:r>
        <w:rPr>
          <w:rFonts w:hint="eastAsia" w:ascii="方正小标宋_GBK" w:hAnsi="方正小标宋_GBK" w:eastAsia="方正小标宋_GBK" w:cs="方正小标宋_GBK"/>
          <w:kern w:val="0"/>
          <w:sz w:val="32"/>
          <w:szCs w:val="32"/>
        </w:rPr>
        <w:t>一、基本职能及主要工作</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eastAsia"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（一）部门主要职责</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1.贯彻执行国家的路线、方针、政策、法律、法规。</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2.制定城子镇经济和社会发展计划、规划，并组织实施。</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3.讨论城子镇经济建设和社会发展中的问题，围绕财政增收，农民致富，搞好产业结构调整，带领群众脱贫致富。</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4.管理本行政区域的经济、教学、科学、文化、广播、卫生、防疫、体育事业、统计、财政、民政、公安、司法行政、计划生育等行政工作。</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5.组织协调农田水利基本建设、小城镇建设、水土保持、退耕还林、荒山绿化、滑坡泥石流梳理、乡村道路建设、人畜饮水等方面的工作。</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6.负责本行政区域内的护林防火、防汛抗旱工作。</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7.受理人民群众和国家机关工作人员的来信来访，解决民间矛盾纠纷。</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.8保护国有财产和集体所有财产、保护公民私人所有的合法财产，搞好社会治安、维护社会秩序、净化社会环境、保护公民的人身、</w:t>
      </w:r>
      <w:bookmarkStart w:id="0" w:name="_GoBack"/>
      <w:bookmarkEnd w:id="0"/>
      <w:r>
        <w:rPr>
          <w:rFonts w:hint="eastAsia" w:eastAsia="方正仿宋_GBK" w:cs="Times New Roman"/>
          <w:sz w:val="32"/>
          <w:szCs w:val="32"/>
          <w:lang w:eastAsia="zh-CN"/>
        </w:rPr>
        <w:t>民主权利</w:t>
      </w:r>
      <w:r>
        <w:rPr>
          <w:rFonts w:hint="default" w:ascii="Times New Roman" w:hAnsi="Times New Roman" w:eastAsia="方正仿宋_GBK" w:cs="Times New Roman"/>
          <w:sz w:val="32"/>
          <w:szCs w:val="32"/>
        </w:rPr>
        <w:t>和其他权利。</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9.保护各种经济组织的合法权益。</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10.加强保障少数民族的权利和尊重少数民族的风俗习惯。</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11.执行党委的决定、镇党代会和人民代表大会的决议，执行上级国家行政机关的决定命令，同时根据法律和政策许可的范围内发布本行政区域的决定和命命令。</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12.决定和召开人民政府全体会议时间和列席会议人员的名单。</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633" w:firstLineChars="198"/>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13.办理</w:t>
      </w:r>
      <w:r>
        <w:rPr>
          <w:rFonts w:hint="eastAsia" w:eastAsia="方正仿宋_GBK" w:cs="Times New Roman"/>
          <w:sz w:val="32"/>
          <w:szCs w:val="32"/>
          <w:lang w:eastAsia="zh-CN"/>
        </w:rPr>
        <w:t>县委、县政府</w:t>
      </w:r>
      <w:r>
        <w:rPr>
          <w:rFonts w:hint="default" w:ascii="Times New Roman" w:hAnsi="Times New Roman" w:eastAsia="方正仿宋_GBK" w:cs="Times New Roman"/>
          <w:sz w:val="32"/>
          <w:szCs w:val="32"/>
        </w:rPr>
        <w:t>和上级部门交办的其他工作。</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480" w:firstLineChars="150"/>
        <w:jc w:val="left"/>
        <w:textAlignment w:val="auto"/>
        <w:outlineLvl w:val="9"/>
        <w:rPr>
          <w:rFonts w:hint="default" w:ascii="Times New Roman" w:hAnsi="Times New Roman" w:eastAsia="方正仿宋_GBK" w:cs="Times New Roman"/>
          <w:kern w:val="0"/>
          <w:sz w:val="32"/>
          <w:szCs w:val="32"/>
        </w:rPr>
      </w:pPr>
      <w:r>
        <w:rPr>
          <w:rFonts w:hint="default" w:ascii="方正楷体_GBK" w:hAnsi="方正楷体_GBK" w:eastAsia="方正楷体_GBK" w:cs="方正楷体_GBK"/>
          <w:kern w:val="0"/>
          <w:sz w:val="32"/>
          <w:szCs w:val="32"/>
        </w:rPr>
        <w:t>（二）机构设置情况</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480" w:firstLineChars="15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城子镇机构设置为1个行政单位和1个事业单位;</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480" w:firstLineChars="15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行政单位包括4个办公室:(1.)党政综合办;(2.)经济发展办;(3.)社会事务办;(4.)社会治安综合治理办。</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480" w:firstLineChars="15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事业单位包括7个站所(1.)财政所;(2.)农业综合服务中心;(3.)社会保障服务中心(4.)林业站(5.)村镇规划建设服务中心;(6.)农村经济经营管理站;(7.)文化广播电视服务中心。</w:t>
      </w:r>
    </w:p>
    <w:p>
      <w:pPr>
        <w:keepNext w:val="0"/>
        <w:keepLines w:val="0"/>
        <w:pageBreakBefore w:val="0"/>
        <w:widowControl/>
        <w:kinsoku/>
        <w:wordWrap/>
        <w:overflowPunct/>
        <w:topLinePunct w:val="0"/>
        <w:autoSpaceDE/>
        <w:autoSpaceDN/>
        <w:bidi w:val="0"/>
        <w:adjustRightInd/>
        <w:snapToGrid w:val="0"/>
        <w:spacing w:line="560" w:lineRule="exact"/>
        <w:ind w:right="0" w:rightChars="0" w:firstLine="480" w:firstLineChars="150"/>
        <w:jc w:val="left"/>
        <w:textAlignment w:val="auto"/>
        <w:outlineLvl w:val="9"/>
        <w:rPr>
          <w:rFonts w:hint="default" w:ascii="Times New Roman" w:hAnsi="Times New Roman" w:eastAsia="方正仿宋_GBK" w:cs="Times New Roman"/>
          <w:kern w:val="0"/>
          <w:sz w:val="32"/>
          <w:szCs w:val="32"/>
        </w:rPr>
      </w:pPr>
      <w:r>
        <w:rPr>
          <w:rFonts w:hint="default" w:ascii="方正楷体_GBK" w:hAnsi="方正楷体_GBK" w:eastAsia="方正楷体_GBK" w:cs="方正楷体_GBK"/>
          <w:kern w:val="0"/>
          <w:sz w:val="32"/>
          <w:szCs w:val="32"/>
        </w:rPr>
        <w:t>（三）重点工作概述</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新的一年，必须因势而动，顺势而为，开好局、起好步，实现新突破、新跨越。2017年我镇工作的总体要求是：坚持稳中求进工作总基调，围绕县委、县政府的中心工作，总体发展思路，全面落实我镇“强蔗兴烟、推进蚕桑、稳粮扶畜、生态活林”的工作目标，力争把城子镇建设成为“充满活力、富裕文明、和谐安宁、山青水绿”的生态农业经济强镇。</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围绕上述目标和要求及2017年工作开展情况，2018年工作计划：</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（一）以巩固提升传统产业为突破口，进一步培育壮大新兴产业。</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产业发展是加快农民脱贫致富的治本之策，是助推群众脱贫、打赢脱贫攻坚战的长久之计，我们要立足实际，发挥优势，大力发展产业。</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第一，要大力推进农业现代化，稳步提升粮食、甘蔗、烟草、畜牧等重点产业，从传统产业的优化提升中产生新的经济发展动力。将粮食播种面积巩固稳定在5.6万亩左右，产量不低于3.3万吨，确保粮食稳定增产。抓实甘蔗产业发展，确保甘蔗种植面积控制在3.2万亩左右，工业入榨量在16万吨左右，加快甘蔗良种的示范推广和“双高”甘蔗示范区建设，着力在提高甘蔗单产上下功夫。按照烟草产业的专业化种植、精细化管理、产业化生产的要求，着力打造优质特色烟叶基地。</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第二，要大力培育和发展蚕桑产业，进一步加强组织领导和宣传发动工作，进一步压实责任、细化措施，进一步把工作做细做实：一是继续加大对种桑养蚕的扶持力度，创建连片的种养示范基地和示范村，突出桑蚕产业的规模效益；二是坚持不懈地抓好种桑养蚕的各项工作，压实干部职工责任担当意识，一级抓一级，层层抓落实；三是提前谋划和落实好下一个种植时间段的各项工作。优化产业结构，找准选准地块，提前做好种植农户</w:t>
      </w:r>
      <w:r>
        <w:rPr>
          <w:rFonts w:hint="eastAsia" w:eastAsia="方正仿宋_GBK" w:cs="Times New Roman"/>
          <w:sz w:val="32"/>
          <w:szCs w:val="32"/>
          <w:lang w:eastAsia="zh-CN"/>
        </w:rPr>
        <w:t>，特别是</w:t>
      </w:r>
      <w:r>
        <w:rPr>
          <w:rFonts w:hint="default" w:ascii="Times New Roman" w:hAnsi="Times New Roman" w:eastAsia="方正仿宋_GBK" w:cs="Times New Roman"/>
          <w:sz w:val="32"/>
          <w:szCs w:val="32"/>
        </w:rPr>
        <w:t xml:space="preserve">建档立卡贫困户的动员工作，确保种植任务面积落到实处。四是结合实际，多措并举，继续在发展庭院经济上做文章。使蚕桑产业成为助推我镇经济发展的又一支柱产业。                                    </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第三，要做强畜牧产业。积极发展养殖专业合作社，始终抓好重大动物疫病防控，实施品种改良，促进畜牧产业健康发展，加大养殖示范小区的建设与扶持力度，确保大牲畜年末存栏数保持在7500头左右，不断提高畜牧业在农村经济中的比重。</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方正楷体_GBK" w:hAnsi="方正楷体_GBK" w:eastAsia="方正楷体_GBK" w:cs="方正楷体_GBK"/>
          <w:sz w:val="32"/>
          <w:szCs w:val="32"/>
        </w:rPr>
      </w:pPr>
      <w:r>
        <w:rPr>
          <w:rFonts w:hint="default" w:ascii="方正楷体_GBK" w:hAnsi="方正楷体_GBK" w:eastAsia="方正楷体_GBK" w:cs="方正楷体_GBK"/>
          <w:sz w:val="32"/>
          <w:szCs w:val="32"/>
        </w:rPr>
        <w:t>（二）以项目建设为突破口，进一步夯实发展基础。</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坚持以项目建设引领经济社会发展，大力实施项目带动战略，把公共基础项目建设作为经济工作和改善民生的重要工作来抓，加快重点项目的推进和建设速度，力争使我镇公共基础设施进一步完善，人居环境和生态建设得到全面改善。 </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是以城镇化建设为重点，统筹城乡变面貌。以打造特色小镇为目标，做好我镇的总体规划和新农村建设规划。重点是镇内道路及农贸市场建设等重点工程，从而大力改善镇容镇貌，提高我镇承载能力。进一步加强城乡基础设施建设，完善功能，强化管理，不断提升城镇化水平。大力实施绿化、亮化、美化和净化工程，整治脏乱现象，不断提高城镇管理水平和质量。</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是稳步推进生产道路和交通网络建设。通过政府专项资金扶持及群众一事一议筹资等渠道筹集生产道路建设资金，想方设法努力加快我镇村至组道路、村内路面水泥硬化工程建设，稳步推进全镇生产道路建设，力争至2018年底，实现全镇镇到村、屯的道路水泥硬底，形成镇、村、组道路便利的交通网。</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三是在打造美丽宜居乡村上出亮点，大力推进生态文明建设，重点探索打造巴达上麻栗坝，以麻栗坝水库为依托，开发本地资源，积极向上级争取项目，打造城子镇乡村旅游亮点。</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（三）以民生建设为突破口，进一步提升人民群众幸福指数。</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坚持实施“民生固镇”战略，大力推进社会事业建设，继续加强社会事业建设，推动社会繁荣进步，努力满足群众基本公共服务需求。进一步突出教育优先地位，努力解决人民群众对优质教育的需求，规范发展学前教育，继续跟踪落实中小学生营养餐计划、困难学生补助和中职学生助学金等政策；继续办好群众满意的卫生惠民实事，加强重点传染病防控和妇幼保健工作，提高医疗卫生服务水平，保障公共卫生及医疗安全；全面落实群众满意的食品药品安全管理体制，加强食品药品监管，保障人民群众健康安全。实施更加科学、精准、有效的扶贫工作，尽快改变贫困落后面貌；加大群众满意的科普富民工作力度，提高科技对我镇经济发展的推动作用，推动镇域经济跨越发展；大力发展群众满意的文化体育事业，积极繁荣文艺创作，打造艺术精品，不断丰富人民群众精神文化生活；进一步完善群众满意的城乡社会救助体系，继续提高社会保险参保率，扩大城乡低保覆盖面，扎实抓好救灾救济、医疗救助、扶老救孤、双拥优抚安置等社会服务工作。</w:t>
      </w:r>
    </w:p>
    <w:p>
      <w:pPr>
        <w:keepNext w:val="0"/>
        <w:keepLines w:val="0"/>
        <w:pageBreakBefore w:val="0"/>
        <w:kinsoku/>
        <w:wordWrap/>
        <w:overflowPunct/>
        <w:topLinePunct w:val="0"/>
        <w:autoSpaceDE/>
        <w:autoSpaceDN/>
        <w:bidi w:val="0"/>
        <w:adjustRightInd/>
        <w:spacing w:line="560" w:lineRule="exact"/>
        <w:ind w:right="0" w:rightChars="0"/>
        <w:textAlignment w:val="auto"/>
        <w:outlineLvl w:val="9"/>
        <w:rPr>
          <w:rFonts w:hint="default" w:ascii="方正楷体_GBK" w:hAnsi="方正楷体_GBK" w:eastAsia="方正楷体_GBK" w:cs="方正楷体_GBK"/>
          <w:sz w:val="32"/>
          <w:szCs w:val="32"/>
        </w:rPr>
      </w:pPr>
      <w:r>
        <w:rPr>
          <w:rFonts w:hint="default" w:ascii="Times New Roman" w:hAnsi="Times New Roman" w:eastAsia="方正仿宋_GBK" w:cs="Times New Roman"/>
          <w:sz w:val="32"/>
          <w:szCs w:val="32"/>
        </w:rPr>
        <w:t xml:space="preserve">    </w:t>
      </w:r>
      <w:r>
        <w:rPr>
          <w:rFonts w:hint="default" w:ascii="方正楷体_GBK" w:hAnsi="方正楷体_GBK" w:eastAsia="方正楷体_GBK" w:cs="方正楷体_GBK"/>
          <w:sz w:val="32"/>
          <w:szCs w:val="32"/>
        </w:rPr>
        <w:t>（四）以党建工作为突破口，促进各级党组织的凝聚力、战斗力、向心力的提升。</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强化第一责任人意识。牢固树立抓好党建是最大政绩的思想，坚决落实“第一责任人”的责任。正确引导基层党支部书记重视党建，按制度、规矩办事，使村级党内组织生活得到落实，使党员群众监督作用得到发挥。加强党支部建设，充分发挥基层党组织的战斗堡垒作用。一是坚持党建指导员制度。每个村党支部配备的党建指导员要持续发挥作用，结合三会一课切实指导村级组织活动开展。二是进一步创新载体，壮大集体经济。抓龙头引领，加快推行“党支部+合作社”模式，推广先进经验，充分发挥农村党支部服务发展、带动致富能力。三是进一步建设好党建示范点，突出党建工作引领作用，充分发挥基层党建对脱贫工作的带动功能。</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方正楷体_GBK" w:hAnsi="方正楷体_GBK" w:eastAsia="方正楷体_GBK" w:cs="方正楷体_GBK"/>
          <w:sz w:val="32"/>
          <w:szCs w:val="32"/>
        </w:rPr>
      </w:pPr>
      <w:r>
        <w:rPr>
          <w:rFonts w:hint="default" w:ascii="方正楷体_GBK" w:hAnsi="方正楷体_GBK" w:eastAsia="方正楷体_GBK" w:cs="方正楷体_GBK"/>
          <w:sz w:val="32"/>
          <w:szCs w:val="32"/>
        </w:rPr>
        <w:t>（五）以全面打赢脱贫攻坚战为目的，进一步加快小康建设步伐。</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坚持“精准扶贫、精准脱贫”基本思路，切实做到扶真贫、真扶贫、真脱贫，举全镇之力，强势推进扶贫开发，坚决打赢脱贫攻坚战。一是深入推进扶贫开发。进一步整合各方力量，充分发挥好帮扶干部的作用，实施“五个一批”脱贫攻坚计划，集中解决制约贫困村发展、贫困户增收的瓶颈问题。二是深入实施精准扶贫、精准脱贫。紧紧围绕“六个精准”的要求，想办法、出实招、见真效，找准根源，对症下药，以更大的决心、更明确的思路、更精准的举措，依托各种项目，切实改变贫困面貌。三是着力实施好</w:t>
      </w:r>
      <w:r>
        <w:rPr>
          <w:rFonts w:hint="eastAsia" w:eastAsia="方正仿宋_GBK" w:cs="Times New Roman"/>
          <w:sz w:val="32"/>
          <w:szCs w:val="32"/>
          <w:lang w:eastAsia="zh-CN"/>
        </w:rPr>
        <w:t>脱贫攻坚</w:t>
      </w:r>
      <w:r>
        <w:rPr>
          <w:rFonts w:hint="default" w:ascii="Times New Roman" w:hAnsi="Times New Roman" w:eastAsia="方正仿宋_GBK" w:cs="Times New Roman"/>
          <w:sz w:val="32"/>
          <w:szCs w:val="32"/>
        </w:rPr>
        <w:t>项目。把项目、资金与建档立卡对象紧密联系起来，在坚持以集中连片特困地区为主战场的同时，突出抓好农村易地扶贫搬迁等工作，切实帮助贫困建档立卡户脱贫致富，着力从扶持桑蚕、畜禽等种植养殖项目上下功夫，切实提高农民收入。四是继续做好产业融扶贫。加大政策宣传，鼓励支持农户申请易地扶贫搬迁贷款，改善生产生活条件；将易地扶贫搬迁与产业开发相结合，促进乡村旅游产业、特色种植产业、畜牧产业等快速发展。五是进一步加大对贫困对象劳动力培训和转移，配合实施好农村贫困劳动力转移培训，提高脱贫致富能力，确保在2017年脱贫摘帽基础上，2018年、2019年、2020年巩固提升，与全县、全州、全省、全国同步建成小康社会。</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rPr>
        <w:t>2018年，我们将继续抢抓机遇，迎接挑战，用全新的精神面貌，扎实的工作作风为城子镇全力开创经济社会发展新局面，为我县经济社会发展做出应有贡献。</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方正小标宋_GBK" w:hAnsi="方正小标宋_GBK" w:eastAsia="方正小标宋_GBK" w:cs="方正小标宋_GBK"/>
          <w:kern w:val="0"/>
          <w:sz w:val="32"/>
          <w:szCs w:val="32"/>
        </w:rPr>
      </w:pPr>
      <w:r>
        <w:rPr>
          <w:rFonts w:hint="default" w:ascii="方正小标宋_GBK" w:hAnsi="方正小标宋_GBK" w:eastAsia="方正小标宋_GBK" w:cs="方正小标宋_GBK"/>
          <w:kern w:val="0"/>
          <w:sz w:val="32"/>
          <w:szCs w:val="32"/>
        </w:rPr>
        <w:t>二、预算单位基本情况</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我部门编制2018年部门预算单位共2个。其中：财政全供给单位2个；部分供给单位0个；特殊供给单位0个；自收自支单位0个。财政全供给单位中行政单位1个；参公管理事业单位1个；非参公管理事业单位0个。截止2017年11月统计，部门基本情况如下：</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在职人员编制77人，其中：行政编制36人，事业编制41人。在职实有76人，其中： 财政全供养76人，财政部分供养0人，非财政供养0人。</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离退休人员 61人，其中： 离休 0人，退休 61人。</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车辆编制4辆，实有车辆4辆。</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方正小标宋_GBK" w:hAnsi="方正小标宋_GBK" w:eastAsia="方正小标宋_GBK" w:cs="方正小标宋_GBK"/>
          <w:kern w:val="0"/>
          <w:sz w:val="32"/>
          <w:szCs w:val="32"/>
        </w:rPr>
      </w:pPr>
      <w:r>
        <w:rPr>
          <w:rFonts w:hint="default" w:ascii="方正小标宋_GBK" w:hAnsi="方正小标宋_GBK" w:eastAsia="方正小标宋_GBK" w:cs="方正小标宋_GBK"/>
          <w:kern w:val="0"/>
          <w:sz w:val="32"/>
          <w:szCs w:val="32"/>
        </w:rPr>
        <w:t>三、预算单位收入情况</w:t>
      </w:r>
    </w:p>
    <w:p>
      <w:pPr>
        <w:keepNext w:val="0"/>
        <w:keepLines w:val="0"/>
        <w:pageBreakBefore w:val="0"/>
        <w:widowControl/>
        <w:kinsoku/>
        <w:wordWrap/>
        <w:overflowPunct/>
        <w:topLinePunct w:val="0"/>
        <w:autoSpaceDE/>
        <w:autoSpaceDN/>
        <w:bidi w:val="0"/>
        <w:adjustRightInd/>
        <w:spacing w:line="560" w:lineRule="exact"/>
        <w:ind w:right="0" w:rightChars="0" w:firstLine="480" w:firstLineChars="150"/>
        <w:jc w:val="left"/>
        <w:textAlignment w:val="auto"/>
        <w:outlineLvl w:val="9"/>
        <w:rPr>
          <w:rFonts w:hint="eastAsia"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（一）部门财务收入情况</w:t>
      </w:r>
    </w:p>
    <w:p>
      <w:pPr>
        <w:keepNext w:val="0"/>
        <w:keepLines w:val="0"/>
        <w:pageBreakBefore w:val="0"/>
        <w:widowControl/>
        <w:kinsoku/>
        <w:wordWrap/>
        <w:overflowPunct/>
        <w:topLinePunct w:val="0"/>
        <w:autoSpaceDE/>
        <w:autoSpaceDN/>
        <w:bidi w:val="0"/>
        <w:adjustRightInd/>
        <w:spacing w:line="560" w:lineRule="exact"/>
        <w:ind w:right="0" w:rightChars="0" w:firstLine="800" w:firstLineChars="25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2018年部门财务总收入1514.75万元，其中：一般公共预算财政拨款1278.96万元，政府性基金预算财政拨款0万元，国有资本经营预算财政拨款0万元，事业收入0万元，事业单位经营收入0万元，其他收入0万元，上年结转235.79万元。</w:t>
      </w:r>
    </w:p>
    <w:p>
      <w:pPr>
        <w:keepNext w:val="0"/>
        <w:keepLines w:val="0"/>
        <w:pageBreakBefore w:val="0"/>
        <w:widowControl/>
        <w:kinsoku/>
        <w:wordWrap/>
        <w:overflowPunct/>
        <w:topLinePunct w:val="0"/>
        <w:autoSpaceDE/>
        <w:autoSpaceDN/>
        <w:bidi w:val="0"/>
        <w:adjustRightInd/>
        <w:spacing w:line="560" w:lineRule="exact"/>
        <w:ind w:right="0" w:rightChars="0" w:firstLine="480" w:firstLineChars="150"/>
        <w:jc w:val="left"/>
        <w:textAlignment w:val="auto"/>
        <w:outlineLvl w:val="9"/>
        <w:rPr>
          <w:rFonts w:hint="default" w:ascii="方正楷体_GBK" w:hAnsi="方正楷体_GBK" w:eastAsia="方正楷体_GBK" w:cs="方正楷体_GBK"/>
          <w:kern w:val="0"/>
          <w:sz w:val="32"/>
          <w:szCs w:val="32"/>
        </w:rPr>
      </w:pPr>
      <w:r>
        <w:rPr>
          <w:rFonts w:hint="default" w:ascii="方正楷体_GBK" w:hAnsi="方正楷体_GBK" w:eastAsia="方正楷体_GBK" w:cs="方正楷体_GBK"/>
          <w:kern w:val="0"/>
          <w:sz w:val="32"/>
          <w:szCs w:val="32"/>
        </w:rPr>
        <w:t>（二）财政拨款收入情况</w:t>
      </w:r>
    </w:p>
    <w:p>
      <w:pPr>
        <w:keepNext w:val="0"/>
        <w:keepLines w:val="0"/>
        <w:pageBreakBefore w:val="0"/>
        <w:widowControl/>
        <w:kinsoku/>
        <w:wordWrap/>
        <w:overflowPunct/>
        <w:topLinePunct w:val="0"/>
        <w:autoSpaceDE/>
        <w:autoSpaceDN/>
        <w:bidi w:val="0"/>
        <w:adjustRightInd/>
        <w:spacing w:line="560" w:lineRule="exact"/>
        <w:ind w:right="0" w:rightChars="0" w:firstLine="800" w:firstLineChars="25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2018年部门财政拨款收入1514.75万元，其中:本年收入1278.96万元，上年结转235.79万元。本年收入中，一般公共预算财政拨款1278.96万元（本级财力1278.96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方正小标宋_GBK" w:hAnsi="方正小标宋_GBK" w:eastAsia="方正小标宋_GBK" w:cs="方正小标宋_GBK"/>
          <w:kern w:val="0"/>
          <w:sz w:val="32"/>
          <w:szCs w:val="32"/>
        </w:rPr>
      </w:pPr>
      <w:r>
        <w:rPr>
          <w:rFonts w:hint="default" w:ascii="方正小标宋_GBK" w:hAnsi="方正小标宋_GBK" w:eastAsia="方正小标宋_GBK" w:cs="方正小标宋_GBK"/>
          <w:kern w:val="0"/>
          <w:sz w:val="32"/>
          <w:szCs w:val="32"/>
        </w:rPr>
        <w:t>四、预算单位支出情况</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2018年部门预算总支出 1514.75万元。财政拨款安排支出 1514.75万元，其中，基本支出1256.24万元，项目支出208.51万元，政府性基金支出50万元。</w:t>
      </w:r>
    </w:p>
    <w:p>
      <w:pPr>
        <w:keepNext w:val="0"/>
        <w:keepLines w:val="0"/>
        <w:pageBreakBefore w:val="0"/>
        <w:widowControl/>
        <w:kinsoku/>
        <w:wordWrap/>
        <w:overflowPunct/>
        <w:topLinePunct w:val="0"/>
        <w:autoSpaceDE/>
        <w:autoSpaceDN/>
        <w:bidi w:val="0"/>
        <w:adjustRightInd/>
        <w:spacing w:line="560" w:lineRule="exact"/>
        <w:ind w:right="0" w:rightChars="0" w:firstLine="480" w:firstLineChars="150"/>
        <w:jc w:val="left"/>
        <w:textAlignment w:val="auto"/>
        <w:outlineLvl w:val="9"/>
        <w:rPr>
          <w:rFonts w:hint="default" w:ascii="方正楷体_GBK" w:hAnsi="方正楷体_GBK" w:eastAsia="方正楷体_GBK" w:cs="方正楷体_GBK"/>
          <w:kern w:val="0"/>
          <w:sz w:val="32"/>
          <w:szCs w:val="32"/>
        </w:rPr>
      </w:pPr>
      <w:r>
        <w:rPr>
          <w:rFonts w:hint="default" w:ascii="方正楷体_GBK" w:hAnsi="方正楷体_GBK" w:eastAsia="方正楷体_GBK" w:cs="方正楷体_GBK"/>
          <w:kern w:val="0"/>
          <w:sz w:val="32"/>
          <w:szCs w:val="32"/>
        </w:rPr>
        <w:t>（一）财政拨款安排支出按功能科目分类情况</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功能科目分组总支出1514.75万元，主要用于一般公共服务支出1060.88万元；教育支出6.6万元；文化体育与传媒支出5.17万元；社会保障和就业支出268.98万元；医疗卫生与计划生育支出6.06万元；节能环保支出9万元；城乡社区支出30万元；农林水支出15.9万元；住房保障支出62.16万元；政府性基金支出50万元。</w:t>
      </w:r>
    </w:p>
    <w:p>
      <w:pPr>
        <w:keepNext w:val="0"/>
        <w:keepLines w:val="0"/>
        <w:pageBreakBefore w:val="0"/>
        <w:widowControl/>
        <w:kinsoku/>
        <w:wordWrap/>
        <w:overflowPunct/>
        <w:topLinePunct w:val="0"/>
        <w:autoSpaceDE/>
        <w:autoSpaceDN/>
        <w:bidi w:val="0"/>
        <w:adjustRightInd/>
        <w:spacing w:line="560" w:lineRule="exact"/>
        <w:ind w:right="0" w:rightChars="0" w:firstLine="480" w:firstLineChars="150"/>
        <w:jc w:val="left"/>
        <w:textAlignment w:val="auto"/>
        <w:outlineLvl w:val="9"/>
        <w:rPr>
          <w:rFonts w:hint="default" w:ascii="方正楷体_GBK" w:hAnsi="方正楷体_GBK" w:eastAsia="方正楷体_GBK" w:cs="方正楷体_GBK"/>
          <w:kern w:val="0"/>
          <w:sz w:val="32"/>
          <w:szCs w:val="32"/>
        </w:rPr>
      </w:pPr>
      <w:r>
        <w:rPr>
          <w:rFonts w:hint="default" w:ascii="方正楷体_GBK" w:hAnsi="方正楷体_GBK" w:eastAsia="方正楷体_GBK" w:cs="方正楷体_GBK"/>
          <w:kern w:val="0"/>
          <w:sz w:val="32"/>
          <w:szCs w:val="32"/>
        </w:rPr>
        <w:t>（二）财政拨款安排支出按经济科目分类情况</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经济科目分组总支出1464.75万元（其中：基本支出1256.24万元，项目支出208.51万元）。主要用于工资福利支出968.8万元,其中:基本工资234.05万元,津贴补贴488.14万元,奖金19.5万元,绩效工资26.01万元，机关事业单位基本养老保险缴费107.57万元，职业年金缴费1.37万元，住房公积金62.16万元;商品和服务支出179.36万元,其中:办公费4.87万元,印刷费0.5万元，水费0.1万元，电费1.7万元,邮电费5万元,差旅费33.4万元，维修（护）费2.8万元，会议费13.09万元,培训费3万元,公务接待费1万元,劳务费0.5万元，其他商品和服务支出113.4万元;对个人和家庭的补助276.59万元,其中:退休费148.37万元，生活补助127.58万元;奖励金0.64万元，资本性支出40万元,均为基础设施建设40万元。</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方正小标宋_GBK" w:hAnsi="方正小标宋_GBK" w:eastAsia="方正小标宋_GBK" w:cs="方正小标宋_GBK"/>
          <w:kern w:val="0"/>
          <w:sz w:val="32"/>
          <w:szCs w:val="32"/>
        </w:rPr>
      </w:pPr>
      <w:r>
        <w:rPr>
          <w:rFonts w:hint="default" w:ascii="方正小标宋_GBK" w:hAnsi="方正小标宋_GBK" w:eastAsia="方正小标宋_GBK" w:cs="方正小标宋_GBK"/>
          <w:kern w:val="0"/>
          <w:sz w:val="32"/>
          <w:szCs w:val="32"/>
        </w:rPr>
        <w:t>五、省对下</w:t>
      </w:r>
      <w:r>
        <w:rPr>
          <w:rFonts w:hint="default" w:ascii="方正小标宋_GBK" w:hAnsi="方正小标宋_GBK" w:eastAsia="方正小标宋_GBK" w:cs="方正小标宋_GBK"/>
          <w:kern w:val="0"/>
          <w:sz w:val="32"/>
          <w:szCs w:val="32"/>
          <w:lang w:val="en-US" w:eastAsia="zh-CN"/>
        </w:rPr>
        <w:t>专</w:t>
      </w:r>
      <w:r>
        <w:rPr>
          <w:rFonts w:hint="default" w:ascii="方正小标宋_GBK" w:hAnsi="方正小标宋_GBK" w:eastAsia="方正小标宋_GBK" w:cs="方正小标宋_GBK"/>
          <w:kern w:val="0"/>
          <w:sz w:val="32"/>
          <w:szCs w:val="32"/>
        </w:rPr>
        <w:t>项转移支付情况</w:t>
      </w:r>
    </w:p>
    <w:p>
      <w:pPr>
        <w:keepNext w:val="0"/>
        <w:keepLines w:val="0"/>
        <w:pageBreakBefore w:val="0"/>
        <w:widowControl/>
        <w:kinsoku/>
        <w:wordWrap/>
        <w:overflowPunct/>
        <w:topLinePunct w:val="0"/>
        <w:autoSpaceDE/>
        <w:autoSpaceDN/>
        <w:bidi w:val="0"/>
        <w:adjustRightInd/>
        <w:spacing w:line="560" w:lineRule="exact"/>
        <w:ind w:right="0" w:rightChars="0" w:firstLine="480" w:firstLineChars="150"/>
        <w:jc w:val="left"/>
        <w:textAlignment w:val="auto"/>
        <w:outlineLvl w:val="9"/>
        <w:rPr>
          <w:rFonts w:hint="default" w:ascii="Times New Roman" w:hAnsi="Times New Roman" w:eastAsia="方正仿宋_GBK" w:cs="Times New Roman"/>
          <w:kern w:val="0"/>
          <w:sz w:val="32"/>
          <w:szCs w:val="32"/>
        </w:rPr>
      </w:pPr>
      <w:r>
        <w:rPr>
          <w:rFonts w:hint="eastAsia" w:ascii="方正楷体_GBK" w:hAnsi="方正楷体_GBK" w:eastAsia="方正楷体_GBK" w:cs="方正楷体_GBK"/>
          <w:b w:val="0"/>
          <w:bCs/>
          <w:kern w:val="0"/>
          <w:sz w:val="32"/>
          <w:szCs w:val="32"/>
        </w:rPr>
        <w:t>（一）列入省对下专项转移支付项目清单项目情况</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部门列入省对下专项转移支付项目清单项目为：  金额0万元，主要用于无。</w:t>
      </w:r>
    </w:p>
    <w:p>
      <w:pPr>
        <w:keepNext w:val="0"/>
        <w:keepLines w:val="0"/>
        <w:pageBreakBefore w:val="0"/>
        <w:widowControl/>
        <w:kinsoku/>
        <w:wordWrap/>
        <w:overflowPunct/>
        <w:topLinePunct w:val="0"/>
        <w:autoSpaceDE/>
        <w:autoSpaceDN/>
        <w:bidi w:val="0"/>
        <w:adjustRightInd/>
        <w:spacing w:line="560" w:lineRule="exact"/>
        <w:ind w:right="0" w:rightChars="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功能科目分组，主要用于无。</w:t>
      </w:r>
      <w:r>
        <w:rPr>
          <w:rFonts w:hint="default" w:ascii="Times New Roman" w:hAnsi="Times New Roman" w:eastAsia="方正仿宋_GBK" w:cs="Times New Roman"/>
          <w:kern w:val="0"/>
          <w:sz w:val="32"/>
          <w:szCs w:val="32"/>
          <w:lang w:eastAsia="zh-CN"/>
        </w:rPr>
        <w:t>在做年初预算时没有收到与预算相关的文件。</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eastAsia" w:ascii="方正楷体_GBK" w:hAnsi="方正楷体_GBK" w:eastAsia="方正楷体_GBK" w:cs="方正楷体_GBK"/>
          <w:b w:val="0"/>
          <w:bCs/>
          <w:kern w:val="0"/>
          <w:sz w:val="32"/>
          <w:szCs w:val="32"/>
        </w:rPr>
      </w:pPr>
      <w:r>
        <w:rPr>
          <w:rFonts w:hint="eastAsia" w:ascii="方正楷体_GBK" w:hAnsi="方正楷体_GBK" w:eastAsia="方正楷体_GBK" w:cs="方正楷体_GBK"/>
          <w:b w:val="0"/>
          <w:bCs/>
          <w:kern w:val="0"/>
          <w:sz w:val="32"/>
          <w:szCs w:val="32"/>
        </w:rPr>
        <w:t>（</w:t>
      </w:r>
      <w:r>
        <w:rPr>
          <w:rFonts w:hint="eastAsia" w:ascii="方正楷体_GBK" w:hAnsi="方正楷体_GBK" w:eastAsia="方正楷体_GBK" w:cs="方正楷体_GBK"/>
          <w:b w:val="0"/>
          <w:bCs/>
          <w:kern w:val="0"/>
          <w:sz w:val="32"/>
          <w:szCs w:val="32"/>
          <w:lang w:eastAsia="zh-CN"/>
        </w:rPr>
        <w:t>二</w:t>
      </w:r>
      <w:r>
        <w:rPr>
          <w:rFonts w:hint="eastAsia" w:ascii="方正楷体_GBK" w:hAnsi="方正楷体_GBK" w:eastAsia="方正楷体_GBK" w:cs="方正楷体_GBK"/>
          <w:b w:val="0"/>
          <w:bCs/>
          <w:kern w:val="0"/>
          <w:sz w:val="32"/>
          <w:szCs w:val="32"/>
        </w:rPr>
        <w:t>）按既定政策标准测算补助事项</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功能科目分组，主要用于元。</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方正小标宋_GBK" w:hAnsi="方正小标宋_GBK" w:eastAsia="方正小标宋_GBK" w:cs="方正小标宋_GBK"/>
          <w:kern w:val="0"/>
          <w:sz w:val="32"/>
          <w:szCs w:val="32"/>
        </w:rPr>
      </w:pPr>
      <w:r>
        <w:rPr>
          <w:rFonts w:hint="default" w:ascii="方正小标宋_GBK" w:hAnsi="方正小标宋_GBK" w:eastAsia="方正小标宋_GBK" w:cs="方正小标宋_GBK"/>
          <w:kern w:val="0"/>
          <w:sz w:val="32"/>
          <w:szCs w:val="32"/>
        </w:rPr>
        <w:t>六、政府采购预算情况</w:t>
      </w:r>
    </w:p>
    <w:p>
      <w:pPr>
        <w:keepNext w:val="0"/>
        <w:keepLines w:val="0"/>
        <w:pageBreakBefore w:val="0"/>
        <w:widowControl/>
        <w:kinsoku/>
        <w:wordWrap/>
        <w:overflowPunct/>
        <w:topLinePunct w:val="0"/>
        <w:autoSpaceDE/>
        <w:autoSpaceDN/>
        <w:bidi w:val="0"/>
        <w:adjustRightInd/>
        <w:spacing w:line="560" w:lineRule="exact"/>
        <w:ind w:right="0" w:rightChars="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 xml:space="preserve">    根据《中华人民共和国政府采购法》的有关规定，编制了政府采购预算，共涉及采购项目2个，采购预算资金1万元。</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方正小标宋_GBK" w:hAnsi="方正小标宋_GBK" w:eastAsia="方正小标宋_GBK" w:cs="方正小标宋_GBK"/>
          <w:kern w:val="0"/>
          <w:sz w:val="32"/>
          <w:szCs w:val="32"/>
        </w:rPr>
      </w:pPr>
      <w:r>
        <w:rPr>
          <w:rFonts w:hint="default" w:ascii="方正小标宋_GBK" w:hAnsi="方正小标宋_GBK" w:eastAsia="方正小标宋_GBK" w:cs="方正小标宋_GBK"/>
          <w:kern w:val="0"/>
          <w:sz w:val="32"/>
          <w:szCs w:val="32"/>
        </w:rPr>
        <w:t>七、预算收支增减变化情况说明</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（基本支出预算和项目支出预算变动的主要原因）</w:t>
      </w:r>
    </w:p>
    <w:p>
      <w:pPr>
        <w:pStyle w:val="11"/>
        <w:keepNext w:val="0"/>
        <w:keepLines w:val="0"/>
        <w:pageBreakBefore w:val="0"/>
        <w:widowControl/>
        <w:numPr>
          <w:ilvl w:val="0"/>
          <w:numId w:val="1"/>
        </w:numPr>
        <w:kinsoku/>
        <w:wordWrap/>
        <w:overflowPunct/>
        <w:topLinePunct w:val="0"/>
        <w:autoSpaceDE/>
        <w:autoSpaceDN/>
        <w:bidi w:val="0"/>
        <w:adjustRightInd/>
        <w:spacing w:line="560" w:lineRule="exact"/>
        <w:ind w:right="0" w:rightChars="0" w:firstLineChars="0"/>
        <w:jc w:val="left"/>
        <w:textAlignment w:val="auto"/>
        <w:outlineLvl w:val="9"/>
        <w:rPr>
          <w:rFonts w:hint="eastAsia"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预算收入增减变化情况</w:t>
      </w:r>
    </w:p>
    <w:p>
      <w:pPr>
        <w:pStyle w:val="11"/>
        <w:keepNext w:val="0"/>
        <w:keepLines w:val="0"/>
        <w:pageBreakBefore w:val="0"/>
        <w:widowControl/>
        <w:kinsoku/>
        <w:wordWrap/>
        <w:overflowPunct/>
        <w:topLinePunct w:val="0"/>
        <w:autoSpaceDE/>
        <w:autoSpaceDN/>
        <w:bidi w:val="0"/>
        <w:adjustRightInd/>
        <w:spacing w:line="240" w:lineRule="auto"/>
        <w:ind w:left="0"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2018年预算总收入1514.75万元，比2017年预算总收入同比增加万元，增长%，预算收入增加的主要原因是：人员工资较上年工资水平有所提高，上年的结余结转为2018年预算收入235.79万元。</w:t>
      </w:r>
    </w:p>
    <w:p>
      <w:pPr>
        <w:pStyle w:val="11"/>
        <w:keepNext w:val="0"/>
        <w:keepLines w:val="0"/>
        <w:pageBreakBefore w:val="0"/>
        <w:widowControl/>
        <w:numPr>
          <w:ilvl w:val="0"/>
          <w:numId w:val="1"/>
        </w:numPr>
        <w:kinsoku/>
        <w:wordWrap/>
        <w:overflowPunct/>
        <w:topLinePunct w:val="0"/>
        <w:autoSpaceDE/>
        <w:autoSpaceDN/>
        <w:bidi w:val="0"/>
        <w:adjustRightInd/>
        <w:spacing w:line="560" w:lineRule="exact"/>
        <w:ind w:right="0" w:rightChars="0" w:firstLineChars="0"/>
        <w:jc w:val="left"/>
        <w:textAlignment w:val="auto"/>
        <w:outlineLvl w:val="9"/>
        <w:rPr>
          <w:rFonts w:hint="eastAsia" w:ascii="方正楷体_GBK" w:hAnsi="方正楷体_GBK" w:eastAsia="方正楷体_GBK" w:cs="方正楷体_GBK"/>
          <w:b w:val="0"/>
          <w:bCs/>
          <w:kern w:val="0"/>
          <w:sz w:val="32"/>
          <w:szCs w:val="32"/>
        </w:rPr>
      </w:pPr>
      <w:r>
        <w:rPr>
          <w:rFonts w:hint="eastAsia" w:ascii="方正楷体_GBK" w:hAnsi="方正楷体_GBK" w:eastAsia="方正楷体_GBK" w:cs="方正楷体_GBK"/>
          <w:b w:val="0"/>
          <w:bCs/>
          <w:kern w:val="0"/>
          <w:sz w:val="32"/>
          <w:szCs w:val="32"/>
        </w:rPr>
        <w:t>预算支出增减变化情况</w:t>
      </w:r>
    </w:p>
    <w:p>
      <w:pPr>
        <w:pStyle w:val="11"/>
        <w:keepNext w:val="0"/>
        <w:keepLines w:val="0"/>
        <w:pageBreakBefore w:val="0"/>
        <w:widowControl/>
        <w:kinsoku/>
        <w:wordWrap/>
        <w:overflowPunct/>
        <w:topLinePunct w:val="0"/>
        <w:autoSpaceDE/>
        <w:autoSpaceDN/>
        <w:bidi w:val="0"/>
        <w:adjustRightInd/>
        <w:spacing w:line="240" w:lineRule="auto"/>
        <w:ind w:left="0" w:right="0" w:rightChars="0" w:firstLine="640" w:firstLineChars="200"/>
        <w:jc w:val="left"/>
        <w:textAlignment w:val="auto"/>
        <w:outlineLvl w:val="9"/>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kern w:val="0"/>
          <w:sz w:val="32"/>
          <w:szCs w:val="32"/>
        </w:rPr>
        <w:t>2018年预算总收入1514.75万元，比2017年预算总收入同比增加万元，增长%，预算收入增加的主要原因是：上人员工资较上年工资水平有所提高，年的结余结转为2018年预算收入235.79万元。</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方正小标宋_GBK" w:hAnsi="方正小标宋_GBK" w:eastAsia="方正小标宋_GBK" w:cs="方正小标宋_GBK"/>
          <w:kern w:val="0"/>
          <w:sz w:val="32"/>
          <w:szCs w:val="32"/>
        </w:rPr>
      </w:pPr>
      <w:r>
        <w:rPr>
          <w:rFonts w:hint="default" w:ascii="方正小标宋_GBK" w:hAnsi="方正小标宋_GBK" w:eastAsia="方正小标宋_GBK" w:cs="方正小标宋_GBK"/>
          <w:kern w:val="0"/>
          <w:sz w:val="32"/>
          <w:szCs w:val="32"/>
        </w:rPr>
        <w:t>八、其他公开信息</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eastAsia"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（一）专业名词解释</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1.财政</w:t>
      </w:r>
      <w:r>
        <w:rPr>
          <w:rFonts w:hint="eastAsia" w:eastAsia="方正仿宋_GBK" w:cs="Times New Roman"/>
          <w:kern w:val="0"/>
          <w:sz w:val="32"/>
          <w:szCs w:val="32"/>
          <w:lang w:eastAsia="zh-CN"/>
        </w:rPr>
        <w:t>拨款</w:t>
      </w:r>
      <w:r>
        <w:rPr>
          <w:rFonts w:hint="default" w:ascii="Times New Roman" w:hAnsi="Times New Roman" w:eastAsia="方正仿宋_GBK" w:cs="Times New Roman"/>
          <w:kern w:val="0"/>
          <w:sz w:val="32"/>
          <w:szCs w:val="32"/>
        </w:rPr>
        <w:t>收入：指财政部门当年</w:t>
      </w:r>
      <w:r>
        <w:rPr>
          <w:rFonts w:hint="eastAsia" w:eastAsia="方正仿宋_GBK" w:cs="Times New Roman"/>
          <w:kern w:val="0"/>
          <w:sz w:val="32"/>
          <w:szCs w:val="32"/>
          <w:lang w:eastAsia="zh-CN"/>
        </w:rPr>
        <w:t>拨付</w:t>
      </w:r>
      <w:r>
        <w:rPr>
          <w:rFonts w:hint="default" w:ascii="Times New Roman" w:hAnsi="Times New Roman" w:eastAsia="方正仿宋_GBK" w:cs="Times New Roman"/>
          <w:kern w:val="0"/>
          <w:sz w:val="32"/>
          <w:szCs w:val="32"/>
        </w:rPr>
        <w:t>的资金。</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2.年初结转结余：指以前年度尚未完成，结转到本年按有关规定继续使用的资金。</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kern w:val="0"/>
          <w:sz w:val="32"/>
          <w:szCs w:val="32"/>
        </w:rPr>
        <w:t>3.机关运行经费：为保障行政单位（含参照公务员法管理的事业单位）运行用于购买货物和服务的各项资金，包括办公及印刷费、邮电费、差旅费、会议费、福利费、日常维修费、专用材料及一般设备购置费、办公用房取暖费、办公用房物业管理费、公务用车运行维护费及其他费用。</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eastAsia"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（二）机关运行经费安排</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kern w:val="0"/>
          <w:sz w:val="32"/>
          <w:szCs w:val="32"/>
        </w:rPr>
        <w:t>2018年城子镇人民政府使用一般公共财政预算</w:t>
      </w:r>
      <w:r>
        <w:rPr>
          <w:rFonts w:hint="eastAsia" w:eastAsia="方正仿宋_GBK" w:cs="Times New Roman"/>
          <w:kern w:val="0"/>
          <w:sz w:val="32"/>
          <w:szCs w:val="32"/>
          <w:lang w:eastAsia="zh-CN"/>
        </w:rPr>
        <w:t>拨款</w:t>
      </w:r>
      <w:r>
        <w:rPr>
          <w:rFonts w:hint="default" w:ascii="Times New Roman" w:hAnsi="Times New Roman" w:eastAsia="方正仿宋_GBK" w:cs="Times New Roman"/>
          <w:kern w:val="0"/>
          <w:sz w:val="32"/>
          <w:szCs w:val="32"/>
        </w:rPr>
        <w:t>安排的基本支出中日常公共经费支出1464.75万元，与2017年预算相比增加286.52万元。城子镇运行经费支出，主要安排在办公及印刷费、邮电费、差旅、会议费、福利费、日常维修费、专用材料费、办公用房物业管理、公务用车运行维护费及其他费用支出。</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eastAsia"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（三）国有资产占用情况</w:t>
      </w:r>
    </w:p>
    <w:p>
      <w:pPr>
        <w:keepNext w:val="0"/>
        <w:keepLines w:val="0"/>
        <w:pageBreakBefore w:val="0"/>
        <w:widowControl/>
        <w:kinsoku/>
        <w:wordWrap/>
        <w:overflowPunct/>
        <w:topLinePunct w:val="0"/>
        <w:autoSpaceDE/>
        <w:autoSpaceDN/>
        <w:bidi w:val="0"/>
        <w:adjustRightInd/>
        <w:spacing w:line="560" w:lineRule="exact"/>
        <w:ind w:right="0" w:rightChars="0"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鉴于截至2017年12月31日的国有资产占有使用情况需在完成2017年决算编制后才能统计汇总相关数据，因此，将在公开2017年度部门决算时一并公开部门截至2017年12月31日的国有资产占有使用情况。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481036"/>
    <w:multiLevelType w:val="multilevel"/>
    <w:tmpl w:val="03481036"/>
    <w:lvl w:ilvl="0" w:tentative="0">
      <w:start w:val="1"/>
      <w:numFmt w:val="japaneseCounting"/>
      <w:lvlText w:val="（%1）"/>
      <w:lvlJc w:val="left"/>
      <w:pPr>
        <w:ind w:left="1789"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3E0"/>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2A77"/>
    <w:rsid w:val="001341D1"/>
    <w:rsid w:val="0013430D"/>
    <w:rsid w:val="0013484F"/>
    <w:rsid w:val="00134BE4"/>
    <w:rsid w:val="0013549C"/>
    <w:rsid w:val="00136C87"/>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390B"/>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3C50"/>
    <w:rsid w:val="002A7BAE"/>
    <w:rsid w:val="002B11FA"/>
    <w:rsid w:val="002B2CA6"/>
    <w:rsid w:val="002B34ED"/>
    <w:rsid w:val="002B37A7"/>
    <w:rsid w:val="002B4342"/>
    <w:rsid w:val="002B56EB"/>
    <w:rsid w:val="002B6D47"/>
    <w:rsid w:val="002C7D21"/>
    <w:rsid w:val="002D27CD"/>
    <w:rsid w:val="002D3EC0"/>
    <w:rsid w:val="002D729F"/>
    <w:rsid w:val="002E0E3C"/>
    <w:rsid w:val="002E2136"/>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E6436"/>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0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110F"/>
    <w:rsid w:val="00715660"/>
    <w:rsid w:val="007240DB"/>
    <w:rsid w:val="00730417"/>
    <w:rsid w:val="007328B9"/>
    <w:rsid w:val="007336B0"/>
    <w:rsid w:val="0073563C"/>
    <w:rsid w:val="00735ADA"/>
    <w:rsid w:val="00735D71"/>
    <w:rsid w:val="00736386"/>
    <w:rsid w:val="007369DE"/>
    <w:rsid w:val="0074138A"/>
    <w:rsid w:val="00750940"/>
    <w:rsid w:val="00751AB4"/>
    <w:rsid w:val="0076269B"/>
    <w:rsid w:val="00764CF6"/>
    <w:rsid w:val="00765E00"/>
    <w:rsid w:val="00766131"/>
    <w:rsid w:val="0077005A"/>
    <w:rsid w:val="007710A0"/>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15"/>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3D65"/>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3D86"/>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A61CA"/>
    <w:rsid w:val="00CB1858"/>
    <w:rsid w:val="00CC0087"/>
    <w:rsid w:val="00CC7035"/>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460BD"/>
    <w:rsid w:val="00D501E4"/>
    <w:rsid w:val="00D51F3A"/>
    <w:rsid w:val="00D6213F"/>
    <w:rsid w:val="00D62340"/>
    <w:rsid w:val="00D63F18"/>
    <w:rsid w:val="00D6527D"/>
    <w:rsid w:val="00D6795D"/>
    <w:rsid w:val="00D729EC"/>
    <w:rsid w:val="00D74B92"/>
    <w:rsid w:val="00D76BF7"/>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541"/>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46D4"/>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30E021BB"/>
    <w:rsid w:val="34F91618"/>
    <w:rsid w:val="47524C06"/>
    <w:rsid w:val="4B791013"/>
    <w:rsid w:val="60B35A25"/>
    <w:rsid w:val="6544263B"/>
    <w:rsid w:val="6E651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character" w:styleId="9">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11</Pages>
  <Words>865</Words>
  <Characters>4932</Characters>
  <Lines>41</Lines>
  <Paragraphs>11</Paragraphs>
  <TotalTime>0</TotalTime>
  <ScaleCrop>false</ScaleCrop>
  <LinksUpToDate>false</LinksUpToDate>
  <CharactersWithSpaces>5786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2024-06-28T02:08:29Z</dcterms:modified>
  <dc:title>年部门预算编制说明</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1C8576EC19824777BBD2E5B44E5FD0D6</vt:lpwstr>
  </property>
</Properties>
</file>